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B9" w:rsidRPr="00042CDA" w:rsidRDefault="00E340B9" w:rsidP="00E340B9">
      <w:pPr>
        <w:jc w:val="center"/>
        <w:rPr>
          <w:sz w:val="26"/>
          <w:szCs w:val="26"/>
          <w:lang w:eastAsia="uk-UA"/>
        </w:rPr>
      </w:pPr>
      <w:bookmarkStart w:id="0" w:name="_GoBack"/>
      <w:bookmarkEnd w:id="0"/>
      <w:r w:rsidRPr="00042CDA">
        <w:rPr>
          <w:b/>
          <w:bCs/>
          <w:sz w:val="26"/>
          <w:szCs w:val="26"/>
          <w:lang w:eastAsia="uk-UA"/>
        </w:rPr>
        <w:t>Звіт про періодичне відстеження результативності рішення Вінницької міської ради  від 01.07.2011р. № 357 «Про порядок оренди майна, що належить до комунальної власності  територіальної громади м. Вінниці»</w:t>
      </w:r>
    </w:p>
    <w:p w:rsidR="00E340B9" w:rsidRPr="00042CDA" w:rsidRDefault="00E340B9" w:rsidP="00E340B9">
      <w:pPr>
        <w:jc w:val="both"/>
        <w:rPr>
          <w:sz w:val="26"/>
          <w:szCs w:val="26"/>
          <w:lang w:eastAsia="uk-UA"/>
        </w:rPr>
      </w:pPr>
    </w:p>
    <w:p w:rsidR="00E340B9" w:rsidRPr="00042CDA" w:rsidRDefault="00E340B9" w:rsidP="00E340B9">
      <w:pPr>
        <w:jc w:val="both"/>
        <w:rPr>
          <w:bCs/>
          <w:sz w:val="26"/>
          <w:szCs w:val="26"/>
          <w:lang w:eastAsia="uk-UA"/>
        </w:rPr>
      </w:pPr>
      <w:r w:rsidRPr="00042CDA">
        <w:rPr>
          <w:sz w:val="26"/>
          <w:szCs w:val="26"/>
          <w:lang w:eastAsia="uk-UA"/>
        </w:rPr>
        <w:t xml:space="preserve">          На виконання статті 10. Закону України "Про засади державної регуляторної політики у сфері господарської діяльності" та згідно з постановою Кабінету Міністрів України від 11.03.2004р. №308 "Про затвердження методик проведення аналізу впливу та відстеження результативності регуляторного акта" здійснено періодичне відстеження результативності </w:t>
      </w:r>
      <w:r w:rsidRPr="00042CDA">
        <w:rPr>
          <w:bCs/>
          <w:sz w:val="26"/>
          <w:szCs w:val="26"/>
          <w:lang w:eastAsia="uk-UA"/>
        </w:rPr>
        <w:t>рішення Вінницької міської ради  від 01.07.2011р. № 357 «Про порядок оренди майна, що належить до комунальної власності  територіальної громади м. Вінниці».</w:t>
      </w:r>
      <w:r w:rsidRPr="00042CDA">
        <w:rPr>
          <w:sz w:val="26"/>
          <w:szCs w:val="26"/>
          <w:lang w:eastAsia="uk-UA"/>
        </w:rPr>
        <w:t xml:space="preserve"> </w:t>
      </w:r>
    </w:p>
    <w:p w:rsidR="00E340B9" w:rsidRPr="00042CDA" w:rsidRDefault="00E340B9" w:rsidP="00E340B9">
      <w:pPr>
        <w:ind w:left="180" w:firstLine="528"/>
        <w:jc w:val="both"/>
        <w:rPr>
          <w:b/>
          <w:sz w:val="26"/>
          <w:szCs w:val="26"/>
        </w:rPr>
      </w:pPr>
      <w:r w:rsidRPr="00042CDA">
        <w:rPr>
          <w:b/>
          <w:sz w:val="26"/>
          <w:szCs w:val="26"/>
        </w:rPr>
        <w:t xml:space="preserve">1. Вид та назва регуляторного акта, результативність якого відстежується </w:t>
      </w:r>
    </w:p>
    <w:p w:rsidR="00E340B9" w:rsidRPr="00042CDA" w:rsidRDefault="00E340B9" w:rsidP="00E340B9">
      <w:pPr>
        <w:ind w:firstLine="708"/>
        <w:jc w:val="both"/>
        <w:rPr>
          <w:bCs/>
          <w:sz w:val="26"/>
          <w:szCs w:val="26"/>
          <w:lang w:eastAsia="uk-UA"/>
        </w:rPr>
      </w:pPr>
      <w:r w:rsidRPr="00042CDA">
        <w:rPr>
          <w:bCs/>
          <w:sz w:val="26"/>
          <w:szCs w:val="26"/>
          <w:lang w:eastAsia="uk-UA"/>
        </w:rPr>
        <w:t>Рішення Вінницької міської ради  від 01.07.2011р. № 357 «Про порядок оренди майна, що належить до комунальної власності  територіальної громади м. Вінниці».</w:t>
      </w:r>
      <w:r w:rsidRPr="00042CDA">
        <w:rPr>
          <w:sz w:val="26"/>
          <w:szCs w:val="26"/>
          <w:lang w:eastAsia="uk-UA"/>
        </w:rPr>
        <w:t xml:space="preserve"> </w:t>
      </w:r>
    </w:p>
    <w:p w:rsidR="00E340B9" w:rsidRPr="00042CDA" w:rsidRDefault="00E340B9" w:rsidP="00E340B9">
      <w:pPr>
        <w:ind w:left="181" w:firstLine="527"/>
        <w:jc w:val="both"/>
        <w:rPr>
          <w:b/>
          <w:sz w:val="26"/>
          <w:szCs w:val="26"/>
        </w:rPr>
      </w:pPr>
      <w:r w:rsidRPr="00042CDA">
        <w:rPr>
          <w:b/>
          <w:sz w:val="26"/>
          <w:szCs w:val="26"/>
        </w:rPr>
        <w:t>2. Назва виконавця заходів з відстеження</w:t>
      </w:r>
    </w:p>
    <w:p w:rsidR="00E340B9" w:rsidRPr="00042CDA" w:rsidRDefault="00E340B9" w:rsidP="00E340B9">
      <w:pPr>
        <w:ind w:left="181" w:firstLine="527"/>
        <w:jc w:val="both"/>
        <w:rPr>
          <w:sz w:val="26"/>
          <w:szCs w:val="26"/>
        </w:rPr>
      </w:pPr>
      <w:r w:rsidRPr="00042CDA">
        <w:rPr>
          <w:sz w:val="26"/>
          <w:szCs w:val="26"/>
        </w:rPr>
        <w:t>Департамент комунальних ресурсів  Вінницької міської ради.</w:t>
      </w:r>
    </w:p>
    <w:p w:rsidR="00E340B9" w:rsidRPr="00042CDA" w:rsidRDefault="00E340B9" w:rsidP="00E340B9">
      <w:pPr>
        <w:ind w:firstLine="539"/>
        <w:jc w:val="both"/>
        <w:rPr>
          <w:b/>
          <w:sz w:val="26"/>
          <w:szCs w:val="26"/>
        </w:rPr>
      </w:pPr>
      <w:r w:rsidRPr="00042CDA">
        <w:rPr>
          <w:b/>
          <w:sz w:val="26"/>
          <w:szCs w:val="26"/>
        </w:rPr>
        <w:t xml:space="preserve">  3. Цілі прийняття акта</w:t>
      </w:r>
    </w:p>
    <w:p w:rsidR="00E340B9" w:rsidRPr="00042CDA" w:rsidRDefault="00E340B9" w:rsidP="00E340B9">
      <w:pPr>
        <w:ind w:firstLine="708"/>
        <w:jc w:val="both"/>
        <w:rPr>
          <w:sz w:val="26"/>
          <w:szCs w:val="26"/>
        </w:rPr>
      </w:pPr>
      <w:r w:rsidRPr="00042CDA">
        <w:rPr>
          <w:sz w:val="26"/>
          <w:szCs w:val="26"/>
          <w:lang w:eastAsia="uk-UA"/>
        </w:rPr>
        <w:t>Підставою для розроблення проекту</w:t>
      </w:r>
      <w:r w:rsidRPr="00042CDA">
        <w:rPr>
          <w:sz w:val="26"/>
          <w:szCs w:val="26"/>
        </w:rPr>
        <w:t xml:space="preserve"> </w:t>
      </w:r>
      <w:r w:rsidRPr="00042CDA">
        <w:rPr>
          <w:bCs/>
          <w:sz w:val="26"/>
          <w:szCs w:val="26"/>
          <w:lang w:eastAsia="uk-UA"/>
        </w:rPr>
        <w:t xml:space="preserve">рішення Вінницької міської ради  від 01.07.2011р. № 357 «Про порядок оренди майна, що належить до комунальної власності  територіальної громади м. Вінниці» була необхідність </w:t>
      </w:r>
      <w:r w:rsidRPr="00042CDA">
        <w:rPr>
          <w:sz w:val="26"/>
          <w:szCs w:val="26"/>
        </w:rPr>
        <w:t xml:space="preserve">приведення у відповідність до чинного законодавства порядку оренди майна, що </w:t>
      </w:r>
      <w:r w:rsidRPr="00042CDA">
        <w:rPr>
          <w:sz w:val="26"/>
          <w:szCs w:val="26"/>
        </w:rPr>
        <w:lastRenderedPageBreak/>
        <w:t>належить до комунальної власності територіальної громади м. Вінниці та в зв’язку зі змінами</w:t>
      </w:r>
      <w:r w:rsidRPr="00042CDA">
        <w:rPr>
          <w:rFonts w:eastAsia="Calibri"/>
          <w:sz w:val="26"/>
          <w:szCs w:val="26"/>
        </w:rPr>
        <w:t xml:space="preserve">, що відбулися в загальній структурі виконавчих органів,  апараті міської ради та її виконавчого комітету (викладення в новій редакції </w:t>
      </w:r>
      <w:r w:rsidRPr="00042CDA">
        <w:rPr>
          <w:sz w:val="26"/>
          <w:szCs w:val="26"/>
        </w:rPr>
        <w:t>“Концепції регулювання відносин, пов’язаних з орендою майна територіальної громади м. Вінниці” та “Положення про оренду комунального майна територіальної громади м. Вінниці” що були затверджені рішенням Вінницької міської ради від 30.03.2007р. №860).</w:t>
      </w:r>
    </w:p>
    <w:p w:rsidR="00E340B9" w:rsidRPr="00042CDA" w:rsidRDefault="00E340B9" w:rsidP="00E340B9">
      <w:pPr>
        <w:ind w:firstLine="708"/>
        <w:rPr>
          <w:sz w:val="26"/>
          <w:szCs w:val="26"/>
          <w:lang w:eastAsia="uk-UA"/>
        </w:rPr>
      </w:pPr>
      <w:r w:rsidRPr="00042CDA">
        <w:rPr>
          <w:sz w:val="26"/>
          <w:szCs w:val="26"/>
          <w:lang w:eastAsia="uk-UA"/>
        </w:rPr>
        <w:t xml:space="preserve">Основними цілями прийняття проекту даного регуляторного акта є: </w:t>
      </w:r>
    </w:p>
    <w:p w:rsidR="00E340B9" w:rsidRPr="00042CDA" w:rsidRDefault="00E340B9" w:rsidP="00E340B9">
      <w:pPr>
        <w:ind w:firstLine="708"/>
        <w:jc w:val="both"/>
        <w:rPr>
          <w:sz w:val="26"/>
          <w:szCs w:val="26"/>
        </w:rPr>
      </w:pPr>
      <w:r w:rsidRPr="00042CDA">
        <w:rPr>
          <w:sz w:val="26"/>
          <w:szCs w:val="26"/>
        </w:rPr>
        <w:t xml:space="preserve">- підвищення ефективності використання комунального майна територіальної громади міста Вінниці; </w:t>
      </w:r>
    </w:p>
    <w:p w:rsidR="00E340B9" w:rsidRPr="00042CDA" w:rsidRDefault="00E340B9" w:rsidP="00E340B9">
      <w:pPr>
        <w:ind w:firstLine="708"/>
        <w:jc w:val="both"/>
        <w:rPr>
          <w:sz w:val="26"/>
          <w:szCs w:val="26"/>
        </w:rPr>
      </w:pPr>
      <w:r w:rsidRPr="00042CDA">
        <w:rPr>
          <w:sz w:val="26"/>
          <w:szCs w:val="26"/>
        </w:rPr>
        <w:t xml:space="preserve">- збільшення надходжень від  оренди до міського бюджету; </w:t>
      </w:r>
    </w:p>
    <w:p w:rsidR="00E340B9" w:rsidRPr="00042CDA" w:rsidRDefault="00E340B9" w:rsidP="00E340B9">
      <w:pPr>
        <w:ind w:firstLine="708"/>
        <w:jc w:val="both"/>
        <w:rPr>
          <w:sz w:val="26"/>
          <w:szCs w:val="26"/>
        </w:rPr>
      </w:pPr>
      <w:r w:rsidRPr="00042CDA">
        <w:rPr>
          <w:sz w:val="26"/>
          <w:szCs w:val="26"/>
        </w:rPr>
        <w:t>- забезпечення прозорості та передбачуваності процедури набуття права на оренду комунального майна на конкурентній основі, виключення можливості тіньових процесів та зловживань з боку місцевих посадовців;</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t xml:space="preserve">       - досягнення балансу інтересів: орендодавців щодо максимізації доходів від оренди комунального майна, орендарів щодо можливості користування комунальним майном для здійснення підприємницької та іншої діяльності;</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t xml:space="preserve">         - встановлення економічно виправданих і обґрунтованих розмірів орендної плати через переважне використання конкурентних способів передачі майна в оренду;</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t xml:space="preserve">         -  забезпечення збереження історичної забудови міста;</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lastRenderedPageBreak/>
        <w:t xml:space="preserve">         - забезпечення  розвитку  соціальної інфраструктури  шляхом  передачі  майна територіальної громади м. Вінниці в оренду і подальшої його приватизації;</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t xml:space="preserve">        -  поліпшення фінансового забезпечення реконструкції нежилого фонду міста;</w:t>
      </w:r>
    </w:p>
    <w:p w:rsidR="00E340B9" w:rsidRPr="00042CDA" w:rsidRDefault="00E340B9" w:rsidP="00E340B9">
      <w:pPr>
        <w:tabs>
          <w:tab w:val="left" w:pos="10631"/>
        </w:tabs>
        <w:ind w:right="-1"/>
        <w:jc w:val="both"/>
        <w:rPr>
          <w:rFonts w:eastAsia="Calibri"/>
          <w:color w:val="000000"/>
          <w:sz w:val="26"/>
          <w:szCs w:val="26"/>
        </w:rPr>
      </w:pPr>
      <w:r w:rsidRPr="00042CDA">
        <w:rPr>
          <w:rFonts w:eastAsia="Calibri"/>
          <w:color w:val="000000"/>
          <w:sz w:val="26"/>
          <w:szCs w:val="26"/>
        </w:rPr>
        <w:t xml:space="preserve">       -  сприяння приватизації орендованого майна.</w:t>
      </w:r>
    </w:p>
    <w:p w:rsidR="00E340B9" w:rsidRPr="00042CDA" w:rsidRDefault="00E340B9" w:rsidP="00E340B9">
      <w:pPr>
        <w:ind w:firstLine="708"/>
        <w:rPr>
          <w:sz w:val="26"/>
          <w:szCs w:val="26"/>
          <w:lang w:eastAsia="uk-UA"/>
        </w:rPr>
      </w:pPr>
      <w:r w:rsidRPr="00042CDA">
        <w:rPr>
          <w:b/>
          <w:bCs/>
          <w:sz w:val="26"/>
          <w:szCs w:val="26"/>
          <w:lang w:eastAsia="uk-UA"/>
        </w:rPr>
        <w:t xml:space="preserve">4. Тип відстеження </w:t>
      </w:r>
    </w:p>
    <w:p w:rsidR="00E340B9" w:rsidRPr="00042CDA" w:rsidRDefault="00E340B9" w:rsidP="00E340B9">
      <w:pPr>
        <w:rPr>
          <w:sz w:val="26"/>
          <w:szCs w:val="26"/>
          <w:lang w:eastAsia="uk-UA"/>
        </w:rPr>
      </w:pPr>
      <w:r w:rsidRPr="00042CDA">
        <w:rPr>
          <w:sz w:val="26"/>
          <w:szCs w:val="26"/>
          <w:lang w:eastAsia="uk-UA"/>
        </w:rPr>
        <w:t xml:space="preserve">Періодичне відстеження. </w:t>
      </w:r>
    </w:p>
    <w:p w:rsidR="00E340B9" w:rsidRPr="00042CDA" w:rsidRDefault="00E340B9" w:rsidP="00E340B9">
      <w:pPr>
        <w:ind w:firstLine="540"/>
        <w:rPr>
          <w:sz w:val="26"/>
          <w:szCs w:val="26"/>
          <w:lang w:eastAsia="uk-UA"/>
        </w:rPr>
      </w:pPr>
      <w:r w:rsidRPr="00042CDA">
        <w:rPr>
          <w:b/>
          <w:bCs/>
          <w:sz w:val="26"/>
          <w:szCs w:val="26"/>
          <w:lang w:eastAsia="uk-UA"/>
        </w:rPr>
        <w:t xml:space="preserve">5. Метод одержання результатів відстеження </w:t>
      </w:r>
    </w:p>
    <w:p w:rsidR="00E340B9" w:rsidRPr="00042CDA" w:rsidRDefault="00E340B9" w:rsidP="00E340B9">
      <w:pPr>
        <w:ind w:firstLine="540"/>
        <w:jc w:val="both"/>
        <w:rPr>
          <w:sz w:val="26"/>
          <w:szCs w:val="26"/>
        </w:rPr>
      </w:pPr>
      <w:r w:rsidRPr="00042CDA">
        <w:rPr>
          <w:sz w:val="26"/>
          <w:szCs w:val="26"/>
        </w:rPr>
        <w:t>Під час проведення відстеження результативності регуляторного акта застосований статистичний метод одержання результатів відстеження</w:t>
      </w:r>
      <w:r w:rsidRPr="00042CDA">
        <w:rPr>
          <w:sz w:val="26"/>
          <w:szCs w:val="26"/>
          <w:lang w:eastAsia="uk-UA"/>
        </w:rPr>
        <w:t xml:space="preserve"> за 2012-2014 роки.</w:t>
      </w:r>
    </w:p>
    <w:p w:rsidR="00E340B9" w:rsidRPr="00042CDA" w:rsidRDefault="00E340B9" w:rsidP="00E340B9">
      <w:pPr>
        <w:rPr>
          <w:sz w:val="26"/>
          <w:szCs w:val="26"/>
          <w:lang w:eastAsia="uk-UA"/>
        </w:rPr>
      </w:pPr>
      <w:r w:rsidRPr="00042CDA">
        <w:rPr>
          <w:b/>
          <w:bCs/>
          <w:sz w:val="26"/>
          <w:szCs w:val="26"/>
          <w:lang w:eastAsia="uk-UA"/>
        </w:rPr>
        <w:t xml:space="preserve">        6. Строк виконання заходів з відстеження результативності </w:t>
      </w:r>
    </w:p>
    <w:p w:rsidR="00E340B9" w:rsidRPr="00042CDA" w:rsidRDefault="00E340B9" w:rsidP="00E340B9">
      <w:pPr>
        <w:rPr>
          <w:sz w:val="26"/>
          <w:szCs w:val="26"/>
          <w:lang w:eastAsia="uk-UA"/>
        </w:rPr>
      </w:pPr>
      <w:r w:rsidRPr="00042CDA">
        <w:rPr>
          <w:sz w:val="26"/>
          <w:szCs w:val="26"/>
          <w:lang w:eastAsia="uk-UA"/>
        </w:rPr>
        <w:t xml:space="preserve">Раз на три роки, починаючи з дня виконання заходів з повторного відстеження. </w:t>
      </w:r>
    </w:p>
    <w:p w:rsidR="00E340B9" w:rsidRPr="00042CDA" w:rsidRDefault="00E340B9" w:rsidP="00E340B9">
      <w:pPr>
        <w:ind w:firstLine="539"/>
        <w:jc w:val="both"/>
        <w:rPr>
          <w:b/>
          <w:sz w:val="26"/>
          <w:szCs w:val="26"/>
        </w:rPr>
      </w:pPr>
      <w:r w:rsidRPr="00042CDA">
        <w:rPr>
          <w:b/>
          <w:sz w:val="26"/>
          <w:szCs w:val="26"/>
        </w:rPr>
        <w:t xml:space="preserve">7. Дані та припущення, на основі яких  відстежувалася  результативність, а також способи одержання даних </w:t>
      </w:r>
    </w:p>
    <w:p w:rsidR="00E340B9" w:rsidRPr="00042CDA" w:rsidRDefault="00E340B9" w:rsidP="00E340B9">
      <w:pPr>
        <w:autoSpaceDE w:val="0"/>
        <w:autoSpaceDN w:val="0"/>
        <w:ind w:firstLine="567"/>
        <w:jc w:val="both"/>
        <w:rPr>
          <w:rFonts w:eastAsia="Calibri"/>
          <w:color w:val="000000"/>
          <w:sz w:val="26"/>
          <w:szCs w:val="26"/>
        </w:rPr>
      </w:pPr>
      <w:r w:rsidRPr="00042CDA">
        <w:rPr>
          <w:sz w:val="26"/>
          <w:szCs w:val="26"/>
        </w:rPr>
        <w:t>Відстеження результативності даного регуляторного акта здійснювалося шляхом аналізу офіційної статистичної інформації даних бухгалтерського обліку надходжень від орендної плати; кількість об’єктів оренди; результати проведених конкурсів</w:t>
      </w:r>
      <w:r w:rsidRPr="00042CDA">
        <w:rPr>
          <w:rFonts w:eastAsia="Calibri"/>
          <w:bCs/>
          <w:color w:val="000000"/>
          <w:sz w:val="26"/>
          <w:szCs w:val="26"/>
        </w:rPr>
        <w:t xml:space="preserve"> на право оренди вільних об’єктів нерухомого майна комунальної власності територіальної громади м. Вінниці</w:t>
      </w:r>
      <w:r w:rsidRPr="00042CDA">
        <w:rPr>
          <w:bCs/>
          <w:color w:val="000000"/>
          <w:sz w:val="26"/>
          <w:szCs w:val="26"/>
        </w:rPr>
        <w:t>;</w:t>
      </w:r>
      <w:r w:rsidRPr="00042CDA">
        <w:rPr>
          <w:sz w:val="26"/>
          <w:szCs w:val="26"/>
        </w:rPr>
        <w:t xml:space="preserve"> кількість </w:t>
      </w:r>
      <w:r w:rsidRPr="00042CDA">
        <w:rPr>
          <w:color w:val="000000"/>
          <w:sz w:val="26"/>
          <w:szCs w:val="26"/>
        </w:rPr>
        <w:t xml:space="preserve"> наданих дозволів</w:t>
      </w:r>
      <w:r w:rsidRPr="00042CDA">
        <w:rPr>
          <w:rFonts w:eastAsia="Calibri"/>
          <w:color w:val="000000"/>
          <w:sz w:val="26"/>
          <w:szCs w:val="26"/>
        </w:rPr>
        <w:t xml:space="preserve"> на здійснення невід'ємних поліпшень об'єкта оренди за рахунок власних коштів орендаря, врахування цих витрат  та способи їх відшкодування.</w:t>
      </w:r>
    </w:p>
    <w:p w:rsidR="00E340B9" w:rsidRDefault="00E340B9" w:rsidP="00E340B9">
      <w:pPr>
        <w:ind w:firstLine="539"/>
        <w:jc w:val="both"/>
        <w:rPr>
          <w:sz w:val="26"/>
          <w:szCs w:val="26"/>
        </w:rPr>
      </w:pPr>
    </w:p>
    <w:p w:rsidR="00E340B9" w:rsidRDefault="00E340B9" w:rsidP="00E340B9">
      <w:pPr>
        <w:ind w:firstLine="539"/>
        <w:jc w:val="both"/>
        <w:rPr>
          <w:sz w:val="26"/>
          <w:szCs w:val="26"/>
        </w:rPr>
      </w:pPr>
    </w:p>
    <w:p w:rsidR="00E340B9" w:rsidRPr="00042CDA" w:rsidRDefault="00E340B9" w:rsidP="00E340B9">
      <w:pPr>
        <w:ind w:firstLine="540"/>
        <w:jc w:val="both"/>
        <w:rPr>
          <w:b/>
          <w:sz w:val="26"/>
          <w:szCs w:val="26"/>
        </w:rPr>
      </w:pPr>
      <w:r w:rsidRPr="00042CDA">
        <w:rPr>
          <w:b/>
          <w:sz w:val="26"/>
          <w:szCs w:val="26"/>
        </w:rPr>
        <w:t>8. Кількісні та якісні значення показників результативності акта</w:t>
      </w:r>
    </w:p>
    <w:p w:rsidR="00E340B9" w:rsidRPr="00042CDA" w:rsidRDefault="00E340B9" w:rsidP="00E340B9">
      <w:pPr>
        <w:ind w:firstLine="540"/>
        <w:jc w:val="both"/>
        <w:rPr>
          <w:sz w:val="26"/>
          <w:szCs w:val="26"/>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4977"/>
        <w:gridCol w:w="1559"/>
        <w:gridCol w:w="1559"/>
        <w:gridCol w:w="1701"/>
      </w:tblGrid>
      <w:tr w:rsidR="00E340B9" w:rsidRPr="00042CDA" w:rsidTr="002B7167">
        <w:trPr>
          <w:trHeight w:val="300"/>
        </w:trPr>
        <w:tc>
          <w:tcPr>
            <w:tcW w:w="4977"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center"/>
              <w:rPr>
                <w:sz w:val="26"/>
                <w:szCs w:val="26"/>
              </w:rPr>
            </w:pPr>
            <w:r w:rsidRPr="00042CDA">
              <w:rPr>
                <w:bCs/>
                <w:iCs/>
                <w:sz w:val="26"/>
                <w:szCs w:val="26"/>
              </w:rPr>
              <w:t>Показники</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iCs/>
                <w:sz w:val="26"/>
                <w:szCs w:val="26"/>
              </w:rPr>
              <w:t xml:space="preserve">2012р. </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center"/>
              <w:rPr>
                <w:sz w:val="26"/>
                <w:szCs w:val="26"/>
              </w:rPr>
            </w:pPr>
            <w:r w:rsidRPr="00042CDA">
              <w:rPr>
                <w:bCs/>
                <w:iCs/>
                <w:sz w:val="26"/>
                <w:szCs w:val="26"/>
              </w:rPr>
              <w:t>2013р.</w:t>
            </w:r>
          </w:p>
        </w:tc>
        <w:tc>
          <w:tcPr>
            <w:tcW w:w="1701"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iCs/>
                <w:sz w:val="26"/>
                <w:szCs w:val="26"/>
              </w:rPr>
              <w:t xml:space="preserve">2014р. </w:t>
            </w:r>
          </w:p>
        </w:tc>
      </w:tr>
      <w:tr w:rsidR="00E340B9" w:rsidRPr="00042CDA" w:rsidTr="002B7167">
        <w:trPr>
          <w:trHeight w:val="570"/>
        </w:trPr>
        <w:tc>
          <w:tcPr>
            <w:tcW w:w="4977"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center"/>
              <w:rPr>
                <w:sz w:val="26"/>
                <w:szCs w:val="26"/>
              </w:rPr>
            </w:pPr>
            <w:r w:rsidRPr="00042CDA">
              <w:rPr>
                <w:bCs/>
                <w:iCs/>
                <w:sz w:val="26"/>
                <w:szCs w:val="26"/>
              </w:rPr>
              <w:t>Кількість об'єктів оренди, шт.</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447</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458</w:t>
            </w:r>
          </w:p>
        </w:tc>
        <w:tc>
          <w:tcPr>
            <w:tcW w:w="1701"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484</w:t>
            </w:r>
          </w:p>
        </w:tc>
      </w:tr>
      <w:tr w:rsidR="00E340B9" w:rsidRPr="00042CDA" w:rsidTr="002B7167">
        <w:trPr>
          <w:trHeight w:val="900"/>
        </w:trPr>
        <w:tc>
          <w:tcPr>
            <w:tcW w:w="4977"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center"/>
              <w:rPr>
                <w:sz w:val="26"/>
                <w:szCs w:val="26"/>
              </w:rPr>
            </w:pPr>
            <w:r w:rsidRPr="00042CDA">
              <w:rPr>
                <w:bCs/>
                <w:iCs/>
                <w:sz w:val="26"/>
                <w:szCs w:val="26"/>
              </w:rPr>
              <w:t>Загальна площа об'єктів оренди, тис. м</w:t>
            </w:r>
            <w:r w:rsidRPr="00042CDA">
              <w:rPr>
                <w:bCs/>
                <w:iCs/>
                <w:sz w:val="26"/>
                <w:szCs w:val="26"/>
                <w:vertAlign w:val="superscript"/>
              </w:rPr>
              <w:t>2</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167,27</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168,89</w:t>
            </w:r>
          </w:p>
        </w:tc>
        <w:tc>
          <w:tcPr>
            <w:tcW w:w="1701"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172,1</w:t>
            </w:r>
          </w:p>
        </w:tc>
      </w:tr>
      <w:tr w:rsidR="00E340B9" w:rsidRPr="00042CDA" w:rsidTr="002B7167">
        <w:trPr>
          <w:trHeight w:val="855"/>
        </w:trPr>
        <w:tc>
          <w:tcPr>
            <w:tcW w:w="4977"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center"/>
              <w:rPr>
                <w:sz w:val="26"/>
                <w:szCs w:val="26"/>
              </w:rPr>
            </w:pPr>
            <w:r w:rsidRPr="00042CDA">
              <w:rPr>
                <w:bCs/>
                <w:iCs/>
                <w:sz w:val="26"/>
                <w:szCs w:val="26"/>
              </w:rPr>
              <w:t>Сума надходжень від оренди, тис.грн.</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6334</w:t>
            </w:r>
          </w:p>
        </w:tc>
        <w:tc>
          <w:tcPr>
            <w:tcW w:w="1559"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6764,7</w:t>
            </w:r>
          </w:p>
        </w:tc>
        <w:tc>
          <w:tcPr>
            <w:tcW w:w="1701" w:type="dxa"/>
            <w:shd w:val="clear" w:color="auto" w:fill="FFFFFF"/>
            <w:tcMar>
              <w:top w:w="15" w:type="dxa"/>
              <w:left w:w="15" w:type="dxa"/>
              <w:bottom w:w="0" w:type="dxa"/>
              <w:right w:w="15" w:type="dxa"/>
            </w:tcMar>
            <w:vAlign w:val="center"/>
            <w:hideMark/>
          </w:tcPr>
          <w:p w:rsidR="00E340B9" w:rsidRPr="00042CDA" w:rsidRDefault="00E340B9" w:rsidP="002B7167">
            <w:pPr>
              <w:ind w:left="-567" w:firstLine="993"/>
              <w:jc w:val="both"/>
              <w:rPr>
                <w:sz w:val="26"/>
                <w:szCs w:val="26"/>
              </w:rPr>
            </w:pPr>
            <w:r w:rsidRPr="00042CDA">
              <w:rPr>
                <w:bCs/>
                <w:sz w:val="26"/>
                <w:szCs w:val="26"/>
              </w:rPr>
              <w:t>6768,7</w:t>
            </w:r>
          </w:p>
        </w:tc>
      </w:tr>
    </w:tbl>
    <w:p w:rsidR="00E340B9" w:rsidRPr="00042CDA" w:rsidRDefault="00E340B9" w:rsidP="00E340B9">
      <w:pPr>
        <w:ind w:firstLine="540"/>
        <w:jc w:val="both"/>
        <w:rPr>
          <w:sz w:val="26"/>
          <w:szCs w:val="26"/>
        </w:rPr>
      </w:pPr>
    </w:p>
    <w:p w:rsidR="00E340B9" w:rsidRPr="00042CDA" w:rsidRDefault="00E340B9" w:rsidP="00E340B9">
      <w:pPr>
        <w:pStyle w:val="HTML"/>
        <w:ind w:left="-567" w:firstLine="993"/>
        <w:jc w:val="both"/>
        <w:rPr>
          <w:rFonts w:ascii="Times New Roman" w:hAnsi="Times New Roman"/>
          <w:sz w:val="26"/>
          <w:szCs w:val="26"/>
        </w:rPr>
      </w:pPr>
      <w:r w:rsidRPr="00042CDA">
        <w:rPr>
          <w:rFonts w:ascii="Times New Roman" w:hAnsi="Times New Roman"/>
          <w:sz w:val="26"/>
          <w:szCs w:val="26"/>
        </w:rPr>
        <w:t>Всього в оренді станом на 01.01.2015р. перебуває 484 об’єкти нерухомого майна загальною площею 172,096 тис.м</w:t>
      </w:r>
      <w:r w:rsidRPr="00042CDA">
        <w:rPr>
          <w:rFonts w:ascii="Times New Roman" w:hAnsi="Times New Roman"/>
          <w:sz w:val="26"/>
          <w:szCs w:val="26"/>
          <w:vertAlign w:val="superscript"/>
        </w:rPr>
        <w:t>2</w:t>
      </w:r>
      <w:r w:rsidRPr="00042CDA">
        <w:rPr>
          <w:rFonts w:ascii="Times New Roman" w:hAnsi="Times New Roman"/>
          <w:sz w:val="26"/>
          <w:szCs w:val="26"/>
        </w:rPr>
        <w:t>, з яких:</w:t>
      </w:r>
    </w:p>
    <w:p w:rsidR="00E340B9" w:rsidRPr="00042CDA" w:rsidRDefault="00E340B9" w:rsidP="00E340B9">
      <w:pPr>
        <w:pStyle w:val="HTML"/>
        <w:numPr>
          <w:ilvl w:val="0"/>
          <w:numId w:val="1"/>
        </w:numPr>
        <w:ind w:left="-567" w:firstLine="993"/>
        <w:jc w:val="both"/>
        <w:rPr>
          <w:rFonts w:ascii="Times New Roman" w:hAnsi="Times New Roman"/>
          <w:sz w:val="26"/>
          <w:szCs w:val="26"/>
        </w:rPr>
      </w:pPr>
      <w:r w:rsidRPr="00042CDA">
        <w:rPr>
          <w:rFonts w:ascii="Times New Roman" w:hAnsi="Times New Roman"/>
          <w:bCs/>
          <w:i/>
          <w:iCs/>
          <w:sz w:val="26"/>
          <w:szCs w:val="26"/>
        </w:rPr>
        <w:t xml:space="preserve">219 </w:t>
      </w:r>
      <w:r w:rsidRPr="00042CDA">
        <w:rPr>
          <w:rFonts w:ascii="Times New Roman" w:hAnsi="Times New Roman"/>
          <w:bCs/>
          <w:sz w:val="26"/>
          <w:szCs w:val="26"/>
        </w:rPr>
        <w:t>орендарів  - суб</w:t>
      </w:r>
      <w:r w:rsidRPr="00042CDA">
        <w:rPr>
          <w:rFonts w:ascii="Times New Roman" w:hAnsi="Times New Roman"/>
          <w:sz w:val="26"/>
          <w:szCs w:val="26"/>
        </w:rPr>
        <w:t>’</w:t>
      </w:r>
      <w:r w:rsidRPr="00042CDA">
        <w:rPr>
          <w:rFonts w:ascii="Times New Roman" w:hAnsi="Times New Roman"/>
          <w:bCs/>
          <w:sz w:val="26"/>
          <w:szCs w:val="26"/>
        </w:rPr>
        <w:t>єктів підприємницької діяльності;</w:t>
      </w:r>
    </w:p>
    <w:p w:rsidR="00E340B9" w:rsidRPr="00042CDA" w:rsidRDefault="00E340B9" w:rsidP="00E340B9">
      <w:pPr>
        <w:pStyle w:val="HTML"/>
        <w:numPr>
          <w:ilvl w:val="0"/>
          <w:numId w:val="1"/>
        </w:numPr>
        <w:ind w:left="-567" w:firstLine="993"/>
        <w:jc w:val="both"/>
        <w:rPr>
          <w:rFonts w:ascii="Times New Roman" w:hAnsi="Times New Roman"/>
          <w:sz w:val="26"/>
          <w:szCs w:val="26"/>
        </w:rPr>
      </w:pPr>
      <w:r w:rsidRPr="00042CDA">
        <w:rPr>
          <w:rFonts w:ascii="Times New Roman" w:hAnsi="Times New Roman"/>
          <w:bCs/>
          <w:i/>
          <w:iCs/>
          <w:sz w:val="26"/>
          <w:szCs w:val="26"/>
        </w:rPr>
        <w:t xml:space="preserve">133 </w:t>
      </w:r>
      <w:r w:rsidRPr="00042CDA">
        <w:rPr>
          <w:rFonts w:ascii="Times New Roman" w:hAnsi="Times New Roman"/>
          <w:bCs/>
          <w:sz w:val="26"/>
          <w:szCs w:val="26"/>
        </w:rPr>
        <w:t>орендаря - бюджетні організації;</w:t>
      </w:r>
    </w:p>
    <w:p w:rsidR="00E340B9" w:rsidRPr="00042CDA" w:rsidRDefault="00E340B9" w:rsidP="00E340B9">
      <w:pPr>
        <w:pStyle w:val="HTML"/>
        <w:numPr>
          <w:ilvl w:val="0"/>
          <w:numId w:val="1"/>
        </w:numPr>
        <w:ind w:left="-567" w:firstLine="993"/>
        <w:jc w:val="both"/>
        <w:rPr>
          <w:rFonts w:ascii="Times New Roman" w:hAnsi="Times New Roman"/>
          <w:sz w:val="26"/>
          <w:szCs w:val="26"/>
        </w:rPr>
      </w:pPr>
      <w:r w:rsidRPr="00042CDA">
        <w:rPr>
          <w:rFonts w:ascii="Times New Roman" w:hAnsi="Times New Roman"/>
          <w:bCs/>
          <w:i/>
          <w:iCs/>
          <w:sz w:val="26"/>
          <w:szCs w:val="26"/>
        </w:rPr>
        <w:t>132</w:t>
      </w:r>
      <w:r w:rsidRPr="00042CDA">
        <w:rPr>
          <w:rFonts w:ascii="Times New Roman" w:hAnsi="Times New Roman"/>
          <w:bCs/>
          <w:sz w:val="26"/>
          <w:szCs w:val="26"/>
        </w:rPr>
        <w:t xml:space="preserve"> - інші орендарі.</w:t>
      </w:r>
      <w:r w:rsidRPr="00042CDA">
        <w:rPr>
          <w:rFonts w:ascii="Times New Roman" w:hAnsi="Times New Roman"/>
          <w:sz w:val="26"/>
          <w:szCs w:val="26"/>
        </w:rPr>
        <w:tab/>
      </w:r>
    </w:p>
    <w:p w:rsidR="00E340B9" w:rsidRPr="00042CDA" w:rsidRDefault="00E340B9" w:rsidP="00E340B9">
      <w:pPr>
        <w:ind w:firstLine="540"/>
        <w:jc w:val="both"/>
        <w:rPr>
          <w:sz w:val="26"/>
          <w:szCs w:val="26"/>
        </w:rPr>
      </w:pPr>
      <w:r w:rsidRPr="00042CDA">
        <w:rPr>
          <w:sz w:val="26"/>
          <w:szCs w:val="26"/>
        </w:rPr>
        <w:t>За період дії регуляторного акта відбулися зміни в структурі об’єктів оренди комунального майна, деякі об’єкти оренди після проведення поліпшень, викуплені, разом з тим відбулась передача об’єктів підприємств та установ з різних форм власності до комунальної власності територіальної громади міста.</w:t>
      </w:r>
    </w:p>
    <w:p w:rsidR="00E340B9" w:rsidRPr="00042CDA" w:rsidRDefault="00E340B9" w:rsidP="00E340B9">
      <w:pPr>
        <w:ind w:firstLine="540"/>
        <w:jc w:val="both"/>
        <w:rPr>
          <w:iCs/>
          <w:sz w:val="26"/>
          <w:szCs w:val="26"/>
        </w:rPr>
      </w:pPr>
      <w:r w:rsidRPr="00042CDA">
        <w:rPr>
          <w:iCs/>
          <w:sz w:val="26"/>
          <w:szCs w:val="26"/>
        </w:rPr>
        <w:t>Протягом періоду відстеження результативності регуляторного акта дозволи на проектування та проведення ремонтних робіт надавались: у 2012 році – на 2 об’єкта, у 2013 році – на 8 об’єктів, у 2014 році – на 5 об’єктів. По</w:t>
      </w:r>
      <w:r w:rsidRPr="00E340B9">
        <w:rPr>
          <w:iCs/>
          <w:sz w:val="26"/>
          <w:szCs w:val="26"/>
        </w:rPr>
        <w:t xml:space="preserve"> 28 </w:t>
      </w:r>
      <w:r w:rsidRPr="00042CDA">
        <w:rPr>
          <w:iCs/>
          <w:sz w:val="26"/>
          <w:szCs w:val="26"/>
        </w:rPr>
        <w:t xml:space="preserve">об’єктам </w:t>
      </w:r>
      <w:r w:rsidRPr="00042CDA">
        <w:rPr>
          <w:iCs/>
          <w:sz w:val="26"/>
          <w:szCs w:val="26"/>
        </w:rPr>
        <w:lastRenderedPageBreak/>
        <w:t xml:space="preserve">комунальної власності затверджені угоди щодо здійснення невід’ємних поліпшень орендованих приміщень за рахунок орендаря (2012 рік – </w:t>
      </w:r>
      <w:r w:rsidRPr="00E340B9">
        <w:rPr>
          <w:iCs/>
          <w:sz w:val="26"/>
          <w:szCs w:val="26"/>
        </w:rPr>
        <w:t>12</w:t>
      </w:r>
      <w:r w:rsidRPr="00042CDA">
        <w:rPr>
          <w:iCs/>
          <w:sz w:val="26"/>
          <w:szCs w:val="26"/>
        </w:rPr>
        <w:t xml:space="preserve"> об’єктів, 2013 рік – </w:t>
      </w:r>
      <w:r w:rsidRPr="00E340B9">
        <w:rPr>
          <w:iCs/>
          <w:sz w:val="26"/>
          <w:szCs w:val="26"/>
        </w:rPr>
        <w:t>8</w:t>
      </w:r>
      <w:r w:rsidRPr="00042CDA">
        <w:rPr>
          <w:iCs/>
          <w:sz w:val="26"/>
          <w:szCs w:val="26"/>
        </w:rPr>
        <w:t xml:space="preserve"> об’єктів, 2014 рік – </w:t>
      </w:r>
      <w:r w:rsidRPr="00E340B9">
        <w:rPr>
          <w:iCs/>
          <w:sz w:val="26"/>
          <w:szCs w:val="26"/>
        </w:rPr>
        <w:t>8</w:t>
      </w:r>
      <w:r w:rsidRPr="00042CDA">
        <w:rPr>
          <w:iCs/>
          <w:sz w:val="26"/>
          <w:szCs w:val="26"/>
        </w:rPr>
        <w:t xml:space="preserve"> об’єктів).    </w:t>
      </w:r>
    </w:p>
    <w:p w:rsidR="00E340B9" w:rsidRPr="00042CDA" w:rsidRDefault="00E340B9" w:rsidP="00E340B9">
      <w:pPr>
        <w:rPr>
          <w:rFonts w:ascii="Calibri" w:hAnsi="Calibri"/>
          <w:sz w:val="26"/>
          <w:szCs w:val="26"/>
        </w:rPr>
      </w:pPr>
    </w:p>
    <w:p w:rsidR="00E340B9" w:rsidRPr="00042CDA" w:rsidRDefault="00E340B9" w:rsidP="00E340B9">
      <w:pPr>
        <w:ind w:firstLine="540"/>
        <w:jc w:val="both"/>
        <w:rPr>
          <w:sz w:val="26"/>
          <w:szCs w:val="26"/>
        </w:rPr>
      </w:pPr>
      <w:r w:rsidRPr="00042CDA">
        <w:rPr>
          <w:sz w:val="26"/>
          <w:szCs w:val="26"/>
        </w:rPr>
        <w:t>Разом з цим законодавством було передбачено, що у разі прийняття рішення про приватизацію орендованого комунального майна (будівлі, споруди, нежитлового приміщення) орендар одержує право на викуп такого майна,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не менш як 25 відсотків ринкової вартості майна, за якою воно було передано в оренду, визначеною суб’єктом оціночної діяльності - суб’єктом господарювання для цілей оренди майна.</w:t>
      </w:r>
    </w:p>
    <w:p w:rsidR="00E340B9" w:rsidRPr="00042CDA" w:rsidRDefault="00E340B9" w:rsidP="00E340B9">
      <w:pPr>
        <w:ind w:firstLine="540"/>
        <w:jc w:val="both"/>
        <w:rPr>
          <w:sz w:val="26"/>
          <w:szCs w:val="26"/>
        </w:rPr>
      </w:pPr>
      <w:r w:rsidRPr="00042CDA">
        <w:rPr>
          <w:sz w:val="26"/>
          <w:szCs w:val="26"/>
        </w:rPr>
        <w:t>Так, у 2012 році приватизовано з урахуванням проведених невід’ємних поліпшень  9 об’єктів  оренди, у 2013 році – 3 об’єкта оренди,  за  2014 рік – 6 об’єктів оренди.</w:t>
      </w:r>
    </w:p>
    <w:p w:rsidR="00E340B9" w:rsidRPr="00042CDA" w:rsidRDefault="00E340B9" w:rsidP="00E340B9">
      <w:pPr>
        <w:ind w:firstLine="540"/>
        <w:jc w:val="both"/>
        <w:rPr>
          <w:sz w:val="26"/>
          <w:szCs w:val="26"/>
        </w:rPr>
      </w:pPr>
      <w:r w:rsidRPr="00042CDA">
        <w:rPr>
          <w:sz w:val="26"/>
          <w:szCs w:val="26"/>
        </w:rPr>
        <w:t xml:space="preserve">Введення нової процедури передачі  в оренду комунального майна на основі проведення конкурсу чи аукціону проводиться з метою підвищення ефективності використання комунального майна територіальної громади міста Вінниці, збільшення надходжень до міського бюджету від  оренди. Так, надання у 2002- 2014 р.р. об’єктів в оренду на конкурсній основі призвело до зростання  </w:t>
      </w:r>
      <w:r w:rsidRPr="00042CDA">
        <w:rPr>
          <w:color w:val="000000"/>
          <w:spacing w:val="-1"/>
          <w:sz w:val="26"/>
          <w:szCs w:val="26"/>
        </w:rPr>
        <w:t>стартової  орендної плати об’єкту за перший місяць оренди</w:t>
      </w:r>
      <w:r w:rsidRPr="00042CDA">
        <w:rPr>
          <w:sz w:val="26"/>
          <w:szCs w:val="26"/>
        </w:rPr>
        <w:t xml:space="preserve"> в середньому на 15%.</w:t>
      </w:r>
    </w:p>
    <w:p w:rsidR="00E340B9" w:rsidRPr="00042CDA" w:rsidRDefault="00E340B9" w:rsidP="00E340B9">
      <w:pPr>
        <w:ind w:firstLine="567"/>
        <w:jc w:val="both"/>
        <w:rPr>
          <w:sz w:val="26"/>
          <w:szCs w:val="26"/>
        </w:rPr>
      </w:pPr>
      <w:r w:rsidRPr="00042CDA">
        <w:rPr>
          <w:sz w:val="26"/>
          <w:szCs w:val="26"/>
        </w:rPr>
        <w:lastRenderedPageBreak/>
        <w:t xml:space="preserve">Запровадження оплати робіт по виготовленню незалежних (експертних) оцінок об’єктів оренди для визначення орендної плати за </w:t>
      </w:r>
      <w:r w:rsidRPr="00042CDA">
        <w:rPr>
          <w:color w:val="000000"/>
          <w:sz w:val="26"/>
          <w:szCs w:val="26"/>
        </w:rPr>
        <w:t xml:space="preserve">рахунок </w:t>
      </w:r>
      <w:r w:rsidRPr="00042CDA">
        <w:rPr>
          <w:sz w:val="26"/>
          <w:szCs w:val="26"/>
        </w:rPr>
        <w:t xml:space="preserve">цільового Фонду міської ради для виготовлення технічної документації та правовстановлюючих документів на об’єкти комунальної власності міста, проведення їх оцінки на об’єкти, орендарями яких є органи місцевого самоврядування, бюджетні організації;  громадські, благодійні, релігійні організації, заклади культури, освіти, охорони здоров’я,  фізкультури та спорту для дітей та юнацтва; депутати різних рівнів; творчі, народні спілки та художники;  міські комунальні підприємства, які обслуговують та утримують житловий фонд, а також є постачальниками комунальних послуг, займаються озелененням та благоустроєм міста;  суб'єкти господарювання, що діють на основі приватної власності, які обслуговують та утримують житловий фонд;  міські комунальні підприємства, які здійснюють харчування школярів призвело до підвищення позитивного сприймання громадськістю діяльності органів місцевого самоврядування. Так, за період 2012-2014р.р.  проведено оплату робіт по виготовленню незалежних (експертних) оцінок по 229 об’єктам на суму майже 260тис.грн.  </w:t>
      </w:r>
    </w:p>
    <w:p w:rsidR="00E340B9" w:rsidRPr="00042CDA" w:rsidRDefault="00E340B9" w:rsidP="00E340B9">
      <w:pPr>
        <w:ind w:firstLine="540"/>
        <w:jc w:val="both"/>
        <w:rPr>
          <w:sz w:val="26"/>
          <w:szCs w:val="26"/>
        </w:rPr>
      </w:pPr>
    </w:p>
    <w:p w:rsidR="00E340B9" w:rsidRPr="00042CDA" w:rsidRDefault="00E340B9" w:rsidP="00E340B9">
      <w:pPr>
        <w:ind w:firstLine="540"/>
        <w:jc w:val="both"/>
        <w:rPr>
          <w:b/>
          <w:sz w:val="26"/>
          <w:szCs w:val="26"/>
        </w:rPr>
      </w:pPr>
      <w:r w:rsidRPr="00042CDA">
        <w:rPr>
          <w:b/>
          <w:sz w:val="26"/>
          <w:szCs w:val="26"/>
        </w:rPr>
        <w:t>9. Оцінка результатів реалізації регуляторного акта та ступеня досягнення визначених цілей</w:t>
      </w:r>
    </w:p>
    <w:p w:rsidR="00E340B9" w:rsidRPr="00042CDA" w:rsidRDefault="00E340B9" w:rsidP="00E340B9">
      <w:pPr>
        <w:ind w:firstLine="540"/>
        <w:jc w:val="both"/>
        <w:rPr>
          <w:sz w:val="26"/>
          <w:szCs w:val="26"/>
        </w:rPr>
      </w:pPr>
      <w:r w:rsidRPr="00042CDA">
        <w:rPr>
          <w:sz w:val="26"/>
          <w:szCs w:val="26"/>
          <w:lang w:eastAsia="uk-UA"/>
        </w:rPr>
        <w:t xml:space="preserve">На підставі періодичного відстеження результативності зазначеного регуляторного акта можна зробити висновки, що </w:t>
      </w:r>
      <w:r w:rsidRPr="00042CDA">
        <w:rPr>
          <w:bCs/>
          <w:sz w:val="26"/>
          <w:szCs w:val="26"/>
          <w:lang w:eastAsia="uk-UA"/>
        </w:rPr>
        <w:t xml:space="preserve">рішення Вінницької міської ради  від 01.07.2011р. № 357 «Про порядок оренди майна, що належить до комунальної </w:t>
      </w:r>
      <w:r w:rsidRPr="00042CDA">
        <w:rPr>
          <w:bCs/>
          <w:sz w:val="26"/>
          <w:szCs w:val="26"/>
          <w:lang w:eastAsia="uk-UA"/>
        </w:rPr>
        <w:lastRenderedPageBreak/>
        <w:t>власності територіальної громади м. Вінниці»</w:t>
      </w:r>
      <w:r w:rsidRPr="00042CDA">
        <w:rPr>
          <w:sz w:val="26"/>
          <w:szCs w:val="26"/>
          <w:lang w:eastAsia="uk-UA"/>
        </w:rPr>
        <w:t xml:space="preserve">, відповідає законодавству України та вимогам сучасності.  </w:t>
      </w:r>
      <w:r w:rsidRPr="00042CDA">
        <w:rPr>
          <w:sz w:val="26"/>
          <w:szCs w:val="26"/>
        </w:rPr>
        <w:t>Дія регуляторного акта  змінила на краще ефективність використання комунального майна територіальної громади міста Вінниці; забезпечила прозорість та передбачуваність процедури набуття права на оренду комунального майна на конкурентній основі; зменшила фінансове навантаження при оформленні оренди комунального майна на орендарів, діяльність яких є соціально важливою для розвитку житлово-комунального господарства, культури, спорту та інших галузей на базі комунального майна територіальної громади м. Вінниці.</w:t>
      </w:r>
    </w:p>
    <w:p w:rsidR="000264AA" w:rsidRDefault="000264AA"/>
    <w:sectPr w:rsidR="000264AA" w:rsidSect="0002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F26B9"/>
    <w:multiLevelType w:val="hybridMultilevel"/>
    <w:tmpl w:val="7C6A540A"/>
    <w:lvl w:ilvl="0" w:tplc="5A4A412E">
      <w:start w:val="1"/>
      <w:numFmt w:val="bullet"/>
      <w:lvlText w:val=""/>
      <w:lvlJc w:val="left"/>
      <w:pPr>
        <w:tabs>
          <w:tab w:val="num" w:pos="720"/>
        </w:tabs>
        <w:ind w:left="720" w:hanging="360"/>
      </w:pPr>
      <w:rPr>
        <w:rFonts w:ascii="Wingdings" w:hAnsi="Wingdings" w:hint="default"/>
      </w:rPr>
    </w:lvl>
    <w:lvl w:ilvl="1" w:tplc="068A4A82" w:tentative="1">
      <w:start w:val="1"/>
      <w:numFmt w:val="bullet"/>
      <w:lvlText w:val=""/>
      <w:lvlJc w:val="left"/>
      <w:pPr>
        <w:tabs>
          <w:tab w:val="num" w:pos="1440"/>
        </w:tabs>
        <w:ind w:left="1440" w:hanging="360"/>
      </w:pPr>
      <w:rPr>
        <w:rFonts w:ascii="Wingdings" w:hAnsi="Wingdings" w:hint="default"/>
      </w:rPr>
    </w:lvl>
    <w:lvl w:ilvl="2" w:tplc="AF7CDB96" w:tentative="1">
      <w:start w:val="1"/>
      <w:numFmt w:val="bullet"/>
      <w:lvlText w:val=""/>
      <w:lvlJc w:val="left"/>
      <w:pPr>
        <w:tabs>
          <w:tab w:val="num" w:pos="2160"/>
        </w:tabs>
        <w:ind w:left="2160" w:hanging="360"/>
      </w:pPr>
      <w:rPr>
        <w:rFonts w:ascii="Wingdings" w:hAnsi="Wingdings" w:hint="default"/>
      </w:rPr>
    </w:lvl>
    <w:lvl w:ilvl="3" w:tplc="8DC066A0" w:tentative="1">
      <w:start w:val="1"/>
      <w:numFmt w:val="bullet"/>
      <w:lvlText w:val=""/>
      <w:lvlJc w:val="left"/>
      <w:pPr>
        <w:tabs>
          <w:tab w:val="num" w:pos="2880"/>
        </w:tabs>
        <w:ind w:left="2880" w:hanging="360"/>
      </w:pPr>
      <w:rPr>
        <w:rFonts w:ascii="Wingdings" w:hAnsi="Wingdings" w:hint="default"/>
      </w:rPr>
    </w:lvl>
    <w:lvl w:ilvl="4" w:tplc="9564B9E8" w:tentative="1">
      <w:start w:val="1"/>
      <w:numFmt w:val="bullet"/>
      <w:lvlText w:val=""/>
      <w:lvlJc w:val="left"/>
      <w:pPr>
        <w:tabs>
          <w:tab w:val="num" w:pos="3600"/>
        </w:tabs>
        <w:ind w:left="3600" w:hanging="360"/>
      </w:pPr>
      <w:rPr>
        <w:rFonts w:ascii="Wingdings" w:hAnsi="Wingdings" w:hint="default"/>
      </w:rPr>
    </w:lvl>
    <w:lvl w:ilvl="5" w:tplc="7C5078D4" w:tentative="1">
      <w:start w:val="1"/>
      <w:numFmt w:val="bullet"/>
      <w:lvlText w:val=""/>
      <w:lvlJc w:val="left"/>
      <w:pPr>
        <w:tabs>
          <w:tab w:val="num" w:pos="4320"/>
        </w:tabs>
        <w:ind w:left="4320" w:hanging="360"/>
      </w:pPr>
      <w:rPr>
        <w:rFonts w:ascii="Wingdings" w:hAnsi="Wingdings" w:hint="default"/>
      </w:rPr>
    </w:lvl>
    <w:lvl w:ilvl="6" w:tplc="D19E279A" w:tentative="1">
      <w:start w:val="1"/>
      <w:numFmt w:val="bullet"/>
      <w:lvlText w:val=""/>
      <w:lvlJc w:val="left"/>
      <w:pPr>
        <w:tabs>
          <w:tab w:val="num" w:pos="5040"/>
        </w:tabs>
        <w:ind w:left="5040" w:hanging="360"/>
      </w:pPr>
      <w:rPr>
        <w:rFonts w:ascii="Wingdings" w:hAnsi="Wingdings" w:hint="default"/>
      </w:rPr>
    </w:lvl>
    <w:lvl w:ilvl="7" w:tplc="B3A2EA38" w:tentative="1">
      <w:start w:val="1"/>
      <w:numFmt w:val="bullet"/>
      <w:lvlText w:val=""/>
      <w:lvlJc w:val="left"/>
      <w:pPr>
        <w:tabs>
          <w:tab w:val="num" w:pos="5760"/>
        </w:tabs>
        <w:ind w:left="5760" w:hanging="360"/>
      </w:pPr>
      <w:rPr>
        <w:rFonts w:ascii="Wingdings" w:hAnsi="Wingdings" w:hint="default"/>
      </w:rPr>
    </w:lvl>
    <w:lvl w:ilvl="8" w:tplc="FB7A093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B9"/>
    <w:rsid w:val="000264AA"/>
    <w:rsid w:val="003E34F5"/>
    <w:rsid w:val="004A190D"/>
    <w:rsid w:val="008A6D4E"/>
    <w:rsid w:val="00AE5C96"/>
    <w:rsid w:val="00B74220"/>
    <w:rsid w:val="00C510C4"/>
    <w:rsid w:val="00D10E6B"/>
    <w:rsid w:val="00D53B86"/>
    <w:rsid w:val="00E34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78741-AC40-4D75-8C40-3D63A300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B9"/>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34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rsid w:val="00E340B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AD2BB-3039-4FB8-A5AB-3A334A34AD86}"/>
</file>

<file path=customXml/itemProps2.xml><?xml version="1.0" encoding="utf-8"?>
<ds:datastoreItem xmlns:ds="http://schemas.openxmlformats.org/officeDocument/2006/customXml" ds:itemID="{CA7AF74F-0757-486B-8848-10B39A59D2F7}"/>
</file>

<file path=customXml/itemProps3.xml><?xml version="1.0" encoding="utf-8"?>
<ds:datastoreItem xmlns:ds="http://schemas.openxmlformats.org/officeDocument/2006/customXml" ds:itemID="{B9E73BB1-2786-4065-B25C-BD0272C688CA}"/>
</file>

<file path=docProps/app.xml><?xml version="1.0" encoding="utf-8"?>
<Properties xmlns="http://schemas.openxmlformats.org/officeDocument/2006/extended-properties" xmlns:vt="http://schemas.openxmlformats.org/officeDocument/2006/docPropsVTypes">
  <Template>Normal</Template>
  <TotalTime>1</TotalTime>
  <Pages>7</Pages>
  <Words>5430</Words>
  <Characters>3096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Вінницька міська рада</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Darovska</dc:creator>
  <cp:keywords/>
  <dc:description/>
  <cp:lastModifiedBy>Бездетко Тетянна Валеріївна</cp:lastModifiedBy>
  <cp:revision>2</cp:revision>
  <dcterms:created xsi:type="dcterms:W3CDTF">2015-07-30T12:24:00Z</dcterms:created>
  <dcterms:modified xsi:type="dcterms:W3CDTF">2015-07-30T12:24:00Z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